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80" w:rsidRDefault="00982480" w:rsidP="00982480">
      <w:pPr>
        <w:rPr>
          <w:b/>
          <w:sz w:val="28"/>
          <w:szCs w:val="28"/>
        </w:rPr>
      </w:pPr>
      <w:r w:rsidRPr="00AB7D44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olt Copse Conservation Volunteers (HCCV</w:t>
      </w:r>
      <w:proofErr w:type="gramStart"/>
      <w:r>
        <w:rPr>
          <w:b/>
          <w:sz w:val="28"/>
          <w:szCs w:val="28"/>
        </w:rPr>
        <w:t>) :</w:t>
      </w:r>
      <w:proofErr w:type="gramEnd"/>
      <w:r>
        <w:rPr>
          <w:b/>
          <w:sz w:val="28"/>
          <w:szCs w:val="28"/>
        </w:rPr>
        <w:t xml:space="preserve">  </w:t>
      </w:r>
    </w:p>
    <w:p w:rsidR="00982480" w:rsidRPr="00AB7D44" w:rsidRDefault="00982480" w:rsidP="00982480">
      <w:pPr>
        <w:rPr>
          <w:b/>
          <w:sz w:val="28"/>
          <w:szCs w:val="28"/>
        </w:rPr>
      </w:pPr>
      <w:r w:rsidRPr="00AB7D44">
        <w:rPr>
          <w:b/>
          <w:sz w:val="28"/>
          <w:szCs w:val="28"/>
        </w:rPr>
        <w:t>Use of Nest Boxes,</w:t>
      </w:r>
      <w:r>
        <w:rPr>
          <w:b/>
          <w:sz w:val="28"/>
          <w:szCs w:val="28"/>
        </w:rPr>
        <w:t xml:space="preserve"> </w:t>
      </w:r>
      <w:proofErr w:type="gramStart"/>
      <w:r w:rsidRPr="00AB7D4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  (</w:t>
      </w:r>
      <w:proofErr w:type="gramEnd"/>
      <w:r>
        <w:rPr>
          <w:b/>
          <w:sz w:val="28"/>
          <w:szCs w:val="28"/>
        </w:rPr>
        <w:t>Year 11)</w:t>
      </w:r>
    </w:p>
    <w:p w:rsidR="00982480" w:rsidRDefault="00982480" w:rsidP="00982480">
      <w:pPr>
        <w:rPr>
          <w:b/>
        </w:rPr>
      </w:pPr>
    </w:p>
    <w:p w:rsidR="00982480" w:rsidRDefault="00982480" w:rsidP="00982480">
      <w:r>
        <w:t>T</w:t>
      </w:r>
      <w:r w:rsidRPr="00C44016">
        <w:t xml:space="preserve">he nest boxes in Holt Copse </w:t>
      </w:r>
      <w:r>
        <w:t>were taken down, checked a</w:t>
      </w:r>
      <w:r w:rsidR="00E1433A">
        <w:t>nd cleaned in January 2017.  T</w:t>
      </w:r>
      <w:r>
        <w:t xml:space="preserve">he results with </w:t>
      </w:r>
      <w:r w:rsidR="00E1433A">
        <w:t>comments are shown in the table and more information about the nest boxes can be found on the HCCV website (</w:t>
      </w:r>
      <w:hyperlink r:id="rId8" w:history="1">
        <w:r w:rsidR="00E1433A" w:rsidRPr="007C65B4">
          <w:rPr>
            <w:rStyle w:val="Hyperlink"/>
          </w:rPr>
          <w:t>www.hccv.org.uk</w:t>
        </w:r>
      </w:hyperlink>
      <w:r w:rsidR="00E1433A">
        <w:t xml:space="preserve"> ).</w:t>
      </w:r>
      <w:r>
        <w:t xml:space="preserve">  </w:t>
      </w:r>
    </w:p>
    <w:p w:rsidR="00346913" w:rsidRDefault="00346913" w:rsidP="00982480"/>
    <w:p w:rsidR="00653EB3" w:rsidRDefault="00346913" w:rsidP="00346913">
      <w:r w:rsidRPr="00346913">
        <w:t>Again a high proportion of the boxes (</w:t>
      </w:r>
      <w:r w:rsidR="002B7CFC">
        <w:t>over 74</w:t>
      </w:r>
      <w:r w:rsidRPr="00346913">
        <w:t xml:space="preserve"> per cent) were </w:t>
      </w:r>
      <w:r w:rsidR="002B7CFC">
        <w:t>occupied</w:t>
      </w:r>
      <w:r w:rsidRPr="00346913">
        <w:t xml:space="preserve">, mainly </w:t>
      </w:r>
      <w:r w:rsidR="002B7CFC">
        <w:t xml:space="preserve">by tit species </w:t>
      </w:r>
      <w:proofErr w:type="gramStart"/>
      <w:r w:rsidR="002B7CFC">
        <w:t>-</w:t>
      </w:r>
      <w:r w:rsidRPr="00346913">
        <w:t xml:space="preserve">  blue</w:t>
      </w:r>
      <w:proofErr w:type="gramEnd"/>
      <w:r w:rsidRPr="00346913">
        <w:t>, coal or great tits</w:t>
      </w:r>
      <w:r w:rsidR="002B7CFC">
        <w:t xml:space="preserve"> (and one of those not used by birds</w:t>
      </w:r>
      <w:r w:rsidRPr="00346913">
        <w:t xml:space="preserve"> contained an active colony of wild bees</w:t>
      </w:r>
      <w:r w:rsidR="002B7CFC">
        <w:t>)</w:t>
      </w:r>
      <w:r w:rsidRPr="00346913">
        <w:t xml:space="preserve">.  As usual tit species not only used the boxes with small, circular holes designed for them, but used many of the boxes intended to attract </w:t>
      </w:r>
      <w:r w:rsidR="002B7CFC">
        <w:t>ot</w:t>
      </w:r>
      <w:r w:rsidR="0019010F">
        <w:t>her species. T</w:t>
      </w:r>
      <w:r w:rsidR="002B7CFC">
        <w:t>he nuthatches</w:t>
      </w:r>
      <w:r w:rsidR="00653EB3">
        <w:t xml:space="preserve"> that occupied a nest box with a circular entrance through a short ‘spout’ partially blocked the </w:t>
      </w:r>
      <w:r w:rsidR="0019010F">
        <w:t>hole</w:t>
      </w:r>
      <w:r w:rsidR="00653EB3">
        <w:t xml:space="preserve"> with a mixture of mud and gravel bound together by the birds’ saliva that sets hard. </w:t>
      </w:r>
      <w:r w:rsidR="0019010F">
        <w:t xml:space="preserve"> They do this to protect the eggs and chicks from predators.</w:t>
      </w:r>
    </w:p>
    <w:p w:rsidR="0019010F" w:rsidRDefault="0019010F" w:rsidP="00346913"/>
    <w:p w:rsidR="00346913" w:rsidRDefault="00653EB3" w:rsidP="00346913">
      <w:r>
        <w:t xml:space="preserve">Unusually both owl boxes were apparently used, although there were more dropping in one box than the other.  </w:t>
      </w:r>
    </w:p>
    <w:p w:rsidR="00653EB3" w:rsidRDefault="00653EB3" w:rsidP="00346913"/>
    <w:p w:rsidR="00D30FFE" w:rsidRDefault="00C15825">
      <w:r>
        <w:t>A</w:t>
      </w:r>
      <w:r w:rsidR="00653EB3">
        <w:t xml:space="preserve"> single tit nest contained </w:t>
      </w:r>
      <w:r w:rsidR="00653EB3" w:rsidRPr="00653EB3">
        <w:t xml:space="preserve">more than </w:t>
      </w:r>
      <w:r w:rsidR="00653EB3">
        <w:t xml:space="preserve">two </w:t>
      </w:r>
      <w:r w:rsidR="00653EB3" w:rsidRPr="00653EB3">
        <w:t>unhatched egg</w:t>
      </w:r>
      <w:r w:rsidR="00653EB3">
        <w:t>s and/or skeletons</w:t>
      </w:r>
      <w:r w:rsidR="00653EB3" w:rsidRPr="00653EB3">
        <w:t xml:space="preserve">, compared with </w:t>
      </w:r>
      <w:r w:rsidR="00653EB3">
        <w:t>three</w:t>
      </w:r>
      <w:r w:rsidR="00653EB3" w:rsidRPr="00653EB3">
        <w:t xml:space="preserve"> last year</w:t>
      </w:r>
      <w:r w:rsidR="008531EF">
        <w:t xml:space="preserve"> (and 6 the previous year), a reflection probably of a benign spring and early summer.  </w:t>
      </w:r>
      <w:r w:rsidR="00653EB3" w:rsidRPr="00653EB3">
        <w:t>Occasional eggs will be infertile but when many eggs or skeletons are found</w:t>
      </w:r>
      <w:r w:rsidR="0019010F">
        <w:t xml:space="preserve"> in</w:t>
      </w:r>
      <w:r w:rsidR="00653EB3" w:rsidRPr="00653EB3">
        <w:t xml:space="preserve"> nests, an external cause such as bad weather (e.g. long periods of wet or cold) is </w:t>
      </w:r>
      <w:r>
        <w:t>a probable</w:t>
      </w:r>
      <w:r w:rsidR="00653EB3" w:rsidRPr="00653EB3">
        <w:t xml:space="preserve"> cause.  When numerous eggs and/or skeletons are present in an occasional nest, however, it is more likely that something happened to </w:t>
      </w:r>
      <w:r>
        <w:t>one or both</w:t>
      </w:r>
      <w:r w:rsidR="008531EF">
        <w:t xml:space="preserve"> parent birds (as happened this year </w:t>
      </w:r>
      <w:r w:rsidR="00E91AE7">
        <w:t>in</w:t>
      </w:r>
      <w:r>
        <w:t xml:space="preserve"> many of </w:t>
      </w:r>
      <w:r w:rsidR="00E91AE7">
        <w:t xml:space="preserve"> the nest boxes </w:t>
      </w:r>
      <w:r w:rsidR="008531EF">
        <w:t>along one</w:t>
      </w:r>
      <w:r w:rsidR="000B04C0">
        <w:t xml:space="preserve"> but not the other</w:t>
      </w:r>
      <w:r w:rsidR="008531EF">
        <w:t xml:space="preserve"> section of the river Emm</w:t>
      </w:r>
      <w:r w:rsidR="00E91AE7">
        <w:t xml:space="preserve">). </w:t>
      </w:r>
      <w:r w:rsidR="008531EF">
        <w:t xml:space="preserve"> </w:t>
      </w:r>
      <w:r w:rsidR="00653EB3" w:rsidRPr="00653EB3">
        <w:t xml:space="preserve">As tits lay up to 12 or more eggs (and great tits </w:t>
      </w:r>
      <w:r w:rsidR="000B04C0">
        <w:t xml:space="preserve">sometimes </w:t>
      </w:r>
      <w:r w:rsidR="00653EB3" w:rsidRPr="00653EB3">
        <w:t xml:space="preserve">have </w:t>
      </w:r>
      <w:r w:rsidR="00E91AE7">
        <w:t>two</w:t>
      </w:r>
      <w:r w:rsidR="000B04C0">
        <w:t xml:space="preserve"> broods</w:t>
      </w:r>
      <w:r w:rsidR="00E91AE7">
        <w:t xml:space="preserve"> a year), 2016</w:t>
      </w:r>
      <w:r w:rsidR="00653EB3" w:rsidRPr="00653EB3">
        <w:t xml:space="preserve"> was probably another highly successful breeding season for them.  </w:t>
      </w:r>
    </w:p>
    <w:p w:rsidR="000B04C0" w:rsidRDefault="000B04C0"/>
    <w:p w:rsidR="00D30FFE" w:rsidRDefault="00D30F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959"/>
        <w:gridCol w:w="1086"/>
        <w:gridCol w:w="5319"/>
      </w:tblGrid>
      <w:tr w:rsidR="00D30FFE" w:rsidRPr="00633CAF" w:rsidTr="00BD223C">
        <w:tc>
          <w:tcPr>
            <w:tcW w:w="1959" w:type="dxa"/>
            <w:shd w:val="clear" w:color="auto" w:fill="auto"/>
          </w:tcPr>
          <w:p w:rsidR="00D30FFE" w:rsidRDefault="00D30FFE" w:rsidP="00BD223C">
            <w:pPr>
              <w:rPr>
                <w:b/>
              </w:rPr>
            </w:pPr>
            <w:r>
              <w:rPr>
                <w:b/>
              </w:rPr>
              <w:t>Nest Box Type</w:t>
            </w:r>
          </w:p>
          <w:p w:rsidR="00D30FFE" w:rsidRPr="00633CAF" w:rsidRDefault="00D30FFE" w:rsidP="00BD223C">
            <w:pPr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D30FFE" w:rsidRPr="00633CAF" w:rsidRDefault="00D30FFE" w:rsidP="00BD223C">
            <w:pPr>
              <w:rPr>
                <w:b/>
              </w:rPr>
            </w:pPr>
            <w:r w:rsidRPr="00633CAF">
              <w:rPr>
                <w:b/>
              </w:rPr>
              <w:t>Used</w:t>
            </w:r>
          </w:p>
          <w:p w:rsidR="00D30FFE" w:rsidRPr="00633CAF" w:rsidRDefault="00D30FFE" w:rsidP="00BD223C">
            <w:pPr>
              <w:rPr>
                <w:b/>
              </w:rPr>
            </w:pPr>
          </w:p>
        </w:tc>
        <w:tc>
          <w:tcPr>
            <w:tcW w:w="1132" w:type="dxa"/>
            <w:shd w:val="clear" w:color="auto" w:fill="auto"/>
          </w:tcPr>
          <w:p w:rsidR="00D30FFE" w:rsidRPr="00633CAF" w:rsidRDefault="00D30FFE" w:rsidP="00BD223C">
            <w:pPr>
              <w:rPr>
                <w:b/>
              </w:rPr>
            </w:pPr>
            <w:r w:rsidRPr="00633CAF">
              <w:rPr>
                <w:b/>
              </w:rPr>
              <w:t>Not used</w:t>
            </w:r>
          </w:p>
          <w:p w:rsidR="00D30FFE" w:rsidRPr="00633CAF" w:rsidRDefault="00D30FFE" w:rsidP="00BD223C">
            <w:pPr>
              <w:rPr>
                <w:b/>
              </w:rPr>
            </w:pPr>
          </w:p>
        </w:tc>
        <w:tc>
          <w:tcPr>
            <w:tcW w:w="5777" w:type="dxa"/>
            <w:shd w:val="clear" w:color="auto" w:fill="auto"/>
          </w:tcPr>
          <w:p w:rsidR="00D30FFE" w:rsidRPr="00633CAF" w:rsidRDefault="00D30FFE" w:rsidP="00BD223C">
            <w:pPr>
              <w:rPr>
                <w:b/>
              </w:rPr>
            </w:pPr>
            <w:r w:rsidRPr="00633CAF">
              <w:rPr>
                <w:b/>
              </w:rPr>
              <w:t>Comments</w:t>
            </w:r>
          </w:p>
        </w:tc>
      </w:tr>
      <w:tr w:rsidR="00D30FFE" w:rsidTr="00BD223C">
        <w:tc>
          <w:tcPr>
            <w:tcW w:w="1959" w:type="dxa"/>
            <w:shd w:val="clear" w:color="auto" w:fill="auto"/>
          </w:tcPr>
          <w:p w:rsidR="00D30FFE" w:rsidRPr="00633CAF" w:rsidRDefault="00D30FFE" w:rsidP="00BD223C">
            <w:pPr>
              <w:rPr>
                <w:b/>
              </w:rPr>
            </w:pPr>
            <w:r w:rsidRPr="00633CAF">
              <w:rPr>
                <w:b/>
              </w:rPr>
              <w:t>Small hole boxes</w:t>
            </w:r>
          </w:p>
          <w:p w:rsidR="00D30FFE" w:rsidRPr="00633CAF" w:rsidRDefault="00D30FFE" w:rsidP="00BD223C">
            <w:pPr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982480" w:rsidRDefault="00982480" w:rsidP="00BD223C">
            <w:pPr>
              <w:jc w:val="center"/>
            </w:pPr>
          </w:p>
          <w:p w:rsidR="00D30FFE" w:rsidRDefault="00982480" w:rsidP="00BD223C">
            <w:pPr>
              <w:jc w:val="center"/>
            </w:pPr>
            <w:r>
              <w:t>21</w:t>
            </w:r>
          </w:p>
        </w:tc>
        <w:tc>
          <w:tcPr>
            <w:tcW w:w="1132" w:type="dxa"/>
            <w:shd w:val="clear" w:color="auto" w:fill="auto"/>
          </w:tcPr>
          <w:p w:rsidR="00D30FFE" w:rsidRDefault="00D30FFE" w:rsidP="00BD223C">
            <w:pPr>
              <w:jc w:val="center"/>
            </w:pPr>
          </w:p>
          <w:p w:rsidR="00982480" w:rsidRDefault="00982480" w:rsidP="00BD223C">
            <w:pPr>
              <w:jc w:val="center"/>
            </w:pPr>
            <w:r>
              <w:t>4</w:t>
            </w:r>
          </w:p>
        </w:tc>
        <w:tc>
          <w:tcPr>
            <w:tcW w:w="5777" w:type="dxa"/>
            <w:shd w:val="clear" w:color="auto" w:fill="auto"/>
          </w:tcPr>
          <w:p w:rsidR="00D30FFE" w:rsidRDefault="00E1433A" w:rsidP="00BD223C">
            <w:r>
              <w:t>1 nest with more than 2 eggs or skeletons.</w:t>
            </w:r>
          </w:p>
          <w:p w:rsidR="00E1433A" w:rsidRDefault="003538B1" w:rsidP="00BD223C">
            <w:r>
              <w:t>1 box (</w:t>
            </w:r>
            <w:r w:rsidR="00E1433A">
              <w:t xml:space="preserve">the type with a </w:t>
            </w:r>
            <w:r>
              <w:t>‘</w:t>
            </w:r>
            <w:r w:rsidR="00E1433A">
              <w:t>spout’)</w:t>
            </w:r>
            <w:r>
              <w:t xml:space="preserve"> was</w:t>
            </w:r>
            <w:r w:rsidR="00E1433A">
              <w:t xml:space="preserve"> used by nuthatches.</w:t>
            </w:r>
          </w:p>
        </w:tc>
      </w:tr>
      <w:tr w:rsidR="00D30FFE" w:rsidTr="00BD223C">
        <w:tc>
          <w:tcPr>
            <w:tcW w:w="1959" w:type="dxa"/>
            <w:shd w:val="clear" w:color="auto" w:fill="auto"/>
          </w:tcPr>
          <w:p w:rsidR="00D30FFE" w:rsidRPr="00633CAF" w:rsidRDefault="00D30FFE" w:rsidP="00BD223C">
            <w:pPr>
              <w:rPr>
                <w:b/>
              </w:rPr>
            </w:pPr>
            <w:r w:rsidRPr="00633CAF">
              <w:rPr>
                <w:b/>
              </w:rPr>
              <w:t>Open fronted</w:t>
            </w:r>
          </w:p>
          <w:p w:rsidR="00D30FFE" w:rsidRPr="00633CAF" w:rsidRDefault="00D30FFE" w:rsidP="00BD223C">
            <w:pPr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D30FFE" w:rsidRDefault="00982480" w:rsidP="00BD223C">
            <w:pPr>
              <w:jc w:val="center"/>
            </w:pPr>
            <w:r>
              <w:t>1</w:t>
            </w:r>
          </w:p>
          <w:p w:rsidR="00982480" w:rsidRDefault="00982480" w:rsidP="00BD223C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D30FFE" w:rsidRDefault="00982480" w:rsidP="00BD223C">
            <w:pPr>
              <w:jc w:val="center"/>
            </w:pPr>
            <w:r>
              <w:t>0</w:t>
            </w:r>
          </w:p>
        </w:tc>
        <w:tc>
          <w:tcPr>
            <w:tcW w:w="5777" w:type="dxa"/>
            <w:shd w:val="clear" w:color="auto" w:fill="auto"/>
          </w:tcPr>
          <w:p w:rsidR="00D30FFE" w:rsidRDefault="00D30FFE" w:rsidP="00BD223C"/>
        </w:tc>
      </w:tr>
      <w:tr w:rsidR="00D30FFE" w:rsidTr="00BD223C">
        <w:tc>
          <w:tcPr>
            <w:tcW w:w="1959" w:type="dxa"/>
            <w:shd w:val="clear" w:color="auto" w:fill="auto"/>
          </w:tcPr>
          <w:p w:rsidR="00D30FFE" w:rsidRPr="00633CAF" w:rsidRDefault="00D30FFE" w:rsidP="00BD223C">
            <w:pPr>
              <w:rPr>
                <w:b/>
              </w:rPr>
            </w:pPr>
            <w:r>
              <w:rPr>
                <w:b/>
              </w:rPr>
              <w:t xml:space="preserve">Tree </w:t>
            </w:r>
            <w:r w:rsidRPr="00633CAF">
              <w:rPr>
                <w:b/>
              </w:rPr>
              <w:t>creeper</w:t>
            </w:r>
          </w:p>
          <w:p w:rsidR="00D30FFE" w:rsidRPr="00633CAF" w:rsidRDefault="00D30FFE" w:rsidP="00BD223C">
            <w:pPr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D30FFE" w:rsidRDefault="00982480" w:rsidP="00BD223C">
            <w:pPr>
              <w:jc w:val="center"/>
            </w:pPr>
            <w:r>
              <w:t>2</w:t>
            </w:r>
          </w:p>
        </w:tc>
        <w:tc>
          <w:tcPr>
            <w:tcW w:w="1132" w:type="dxa"/>
            <w:shd w:val="clear" w:color="auto" w:fill="auto"/>
          </w:tcPr>
          <w:p w:rsidR="00D30FFE" w:rsidRDefault="00982480" w:rsidP="00BD223C">
            <w:pPr>
              <w:jc w:val="center"/>
            </w:pPr>
            <w:r>
              <w:t>3</w:t>
            </w:r>
          </w:p>
        </w:tc>
        <w:tc>
          <w:tcPr>
            <w:tcW w:w="5777" w:type="dxa"/>
            <w:shd w:val="clear" w:color="auto" w:fill="auto"/>
          </w:tcPr>
          <w:p w:rsidR="00D30FFE" w:rsidRDefault="00D30FFE" w:rsidP="00BD223C"/>
        </w:tc>
      </w:tr>
      <w:tr w:rsidR="00D30FFE" w:rsidTr="00BD223C">
        <w:tc>
          <w:tcPr>
            <w:tcW w:w="1959" w:type="dxa"/>
            <w:shd w:val="clear" w:color="auto" w:fill="auto"/>
          </w:tcPr>
          <w:p w:rsidR="00D30FFE" w:rsidRPr="00633CAF" w:rsidRDefault="00D30FFE" w:rsidP="00BD223C">
            <w:pPr>
              <w:rPr>
                <w:b/>
              </w:rPr>
            </w:pPr>
            <w:r w:rsidRPr="00633CAF">
              <w:rPr>
                <w:b/>
              </w:rPr>
              <w:t>Wren</w:t>
            </w:r>
          </w:p>
          <w:p w:rsidR="00D30FFE" w:rsidRPr="00633CAF" w:rsidRDefault="00D30FFE" w:rsidP="00BD223C">
            <w:pPr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D30FFE" w:rsidRDefault="00982480" w:rsidP="00BD223C">
            <w:pPr>
              <w:jc w:val="center"/>
            </w:pPr>
            <w:r>
              <w:t>0</w:t>
            </w:r>
          </w:p>
        </w:tc>
        <w:tc>
          <w:tcPr>
            <w:tcW w:w="1132" w:type="dxa"/>
            <w:shd w:val="clear" w:color="auto" w:fill="auto"/>
          </w:tcPr>
          <w:p w:rsidR="00D30FFE" w:rsidRDefault="00982480" w:rsidP="00BD223C">
            <w:pPr>
              <w:jc w:val="center"/>
            </w:pPr>
            <w:r>
              <w:t>0</w:t>
            </w:r>
          </w:p>
        </w:tc>
        <w:tc>
          <w:tcPr>
            <w:tcW w:w="5777" w:type="dxa"/>
            <w:shd w:val="clear" w:color="auto" w:fill="auto"/>
          </w:tcPr>
          <w:p w:rsidR="00D30FFE" w:rsidRDefault="00E1433A" w:rsidP="00BD223C">
            <w:r>
              <w:t>Still to be installed.</w:t>
            </w:r>
          </w:p>
        </w:tc>
      </w:tr>
      <w:tr w:rsidR="00D30FFE" w:rsidTr="00BD223C">
        <w:tc>
          <w:tcPr>
            <w:tcW w:w="1959" w:type="dxa"/>
            <w:shd w:val="clear" w:color="auto" w:fill="auto"/>
          </w:tcPr>
          <w:p w:rsidR="00D30FFE" w:rsidRPr="00633CAF" w:rsidRDefault="00D30FFE" w:rsidP="00BD223C">
            <w:pPr>
              <w:rPr>
                <w:b/>
              </w:rPr>
            </w:pPr>
            <w:r w:rsidRPr="00633CAF">
              <w:rPr>
                <w:b/>
              </w:rPr>
              <w:t>Nuthatch</w:t>
            </w:r>
          </w:p>
          <w:p w:rsidR="00D30FFE" w:rsidRPr="00633CAF" w:rsidRDefault="00D30FFE" w:rsidP="00BD223C">
            <w:pPr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D30FFE" w:rsidRDefault="00982480" w:rsidP="00BD223C">
            <w:pPr>
              <w:jc w:val="center"/>
            </w:pPr>
            <w:r>
              <w:t>3</w:t>
            </w:r>
          </w:p>
        </w:tc>
        <w:tc>
          <w:tcPr>
            <w:tcW w:w="1132" w:type="dxa"/>
            <w:shd w:val="clear" w:color="auto" w:fill="auto"/>
          </w:tcPr>
          <w:p w:rsidR="00D30FFE" w:rsidRDefault="00982480" w:rsidP="00BD223C">
            <w:pPr>
              <w:jc w:val="center"/>
            </w:pPr>
            <w:r>
              <w:t>3</w:t>
            </w:r>
          </w:p>
        </w:tc>
        <w:tc>
          <w:tcPr>
            <w:tcW w:w="5777" w:type="dxa"/>
            <w:shd w:val="clear" w:color="auto" w:fill="auto"/>
          </w:tcPr>
          <w:p w:rsidR="00D30FFE" w:rsidRDefault="00E1433A" w:rsidP="00BD223C">
            <w:r w:rsidRPr="00E1433A">
              <w:t>B</w:t>
            </w:r>
            <w:r>
              <w:t>ut all used by tit species!</w:t>
            </w:r>
          </w:p>
          <w:p w:rsidR="00E1433A" w:rsidRPr="00EC5B63" w:rsidRDefault="003538B1" w:rsidP="00BD223C">
            <w:pPr>
              <w:rPr>
                <w:highlight w:val="yellow"/>
              </w:rPr>
            </w:pPr>
            <w:r>
              <w:t xml:space="preserve">Bees in one of the ‘Not </w:t>
            </w:r>
            <w:r w:rsidR="00E1433A">
              <w:t>used’ ones.</w:t>
            </w:r>
          </w:p>
        </w:tc>
      </w:tr>
      <w:tr w:rsidR="00D30FFE" w:rsidTr="00BD223C">
        <w:tc>
          <w:tcPr>
            <w:tcW w:w="1959" w:type="dxa"/>
            <w:shd w:val="clear" w:color="auto" w:fill="auto"/>
          </w:tcPr>
          <w:p w:rsidR="00D30FFE" w:rsidRPr="00633CAF" w:rsidRDefault="00D30FFE" w:rsidP="00BD223C">
            <w:pPr>
              <w:rPr>
                <w:b/>
              </w:rPr>
            </w:pPr>
            <w:r w:rsidRPr="00633CAF">
              <w:rPr>
                <w:b/>
              </w:rPr>
              <w:t>Owl</w:t>
            </w:r>
          </w:p>
          <w:p w:rsidR="00D30FFE" w:rsidRPr="00633CAF" w:rsidRDefault="00D30FFE" w:rsidP="00BD223C">
            <w:pPr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D30FFE" w:rsidRDefault="00982480" w:rsidP="00BD223C">
            <w:pPr>
              <w:jc w:val="center"/>
            </w:pPr>
            <w:r>
              <w:t>2</w:t>
            </w:r>
          </w:p>
        </w:tc>
        <w:tc>
          <w:tcPr>
            <w:tcW w:w="1132" w:type="dxa"/>
            <w:shd w:val="clear" w:color="auto" w:fill="auto"/>
          </w:tcPr>
          <w:p w:rsidR="00D30FFE" w:rsidRDefault="00982480" w:rsidP="00BD223C">
            <w:pPr>
              <w:jc w:val="center"/>
            </w:pPr>
            <w:r>
              <w:t>0</w:t>
            </w:r>
          </w:p>
        </w:tc>
        <w:tc>
          <w:tcPr>
            <w:tcW w:w="5777" w:type="dxa"/>
            <w:shd w:val="clear" w:color="auto" w:fill="auto"/>
          </w:tcPr>
          <w:p w:rsidR="00D30FFE" w:rsidRDefault="003538B1" w:rsidP="00BD223C">
            <w:r>
              <w:t>M</w:t>
            </w:r>
            <w:r w:rsidR="00E1433A">
              <w:t xml:space="preserve">ore nest material in one box than the other.  </w:t>
            </w:r>
          </w:p>
        </w:tc>
      </w:tr>
      <w:tr w:rsidR="00D30FFE" w:rsidRPr="00633CAF" w:rsidTr="00BD223C">
        <w:tc>
          <w:tcPr>
            <w:tcW w:w="1959" w:type="dxa"/>
            <w:shd w:val="clear" w:color="auto" w:fill="auto"/>
          </w:tcPr>
          <w:p w:rsidR="00D30FFE" w:rsidRPr="00633CAF" w:rsidRDefault="00D30FFE" w:rsidP="00BD223C">
            <w:pPr>
              <w:rPr>
                <w:b/>
              </w:rPr>
            </w:pPr>
            <w:r w:rsidRPr="00633CAF">
              <w:rPr>
                <w:b/>
              </w:rPr>
              <w:t>Total</w:t>
            </w:r>
          </w:p>
          <w:p w:rsidR="00D30FFE" w:rsidRPr="00633CAF" w:rsidRDefault="00D30FFE" w:rsidP="00BD223C">
            <w:pPr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D30FFE" w:rsidRPr="00633CAF" w:rsidRDefault="00982480" w:rsidP="00BD223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2" w:type="dxa"/>
            <w:shd w:val="clear" w:color="auto" w:fill="auto"/>
          </w:tcPr>
          <w:p w:rsidR="00D30FFE" w:rsidRPr="00633CAF" w:rsidRDefault="00982480" w:rsidP="00BD223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77" w:type="dxa"/>
            <w:shd w:val="clear" w:color="auto" w:fill="auto"/>
          </w:tcPr>
          <w:p w:rsidR="00D30FFE" w:rsidRDefault="00346913" w:rsidP="00BD223C">
            <w:pPr>
              <w:rPr>
                <w:b/>
              </w:rPr>
            </w:pPr>
            <w:r>
              <w:rPr>
                <w:b/>
              </w:rPr>
              <w:t>Over 74 per cent of the boxes were used</w:t>
            </w:r>
            <w:r w:rsidR="00A2759E">
              <w:rPr>
                <w:b/>
              </w:rPr>
              <w:t>, although not always by the intended species.</w:t>
            </w:r>
          </w:p>
          <w:p w:rsidR="00A2759E" w:rsidRPr="00633CAF" w:rsidRDefault="00A2759E" w:rsidP="00BD223C">
            <w:pPr>
              <w:rPr>
                <w:b/>
              </w:rPr>
            </w:pPr>
          </w:p>
        </w:tc>
      </w:tr>
    </w:tbl>
    <w:p w:rsidR="000B04C0" w:rsidRDefault="000B04C0">
      <w:pPr>
        <w:rPr>
          <w:b/>
        </w:rPr>
      </w:pPr>
    </w:p>
    <w:p w:rsidR="000B04C0" w:rsidRPr="000B04C0" w:rsidRDefault="000B04C0">
      <w:pPr>
        <w:rPr>
          <w:b/>
        </w:rPr>
      </w:pPr>
      <w:r w:rsidRPr="000B04C0">
        <w:rPr>
          <w:b/>
        </w:rPr>
        <w:t xml:space="preserve">Mike Saynor, </w:t>
      </w:r>
      <w:r w:rsidR="003538B1">
        <w:rPr>
          <w:b/>
        </w:rPr>
        <w:tab/>
      </w:r>
      <w:r w:rsidRPr="000B04C0">
        <w:rPr>
          <w:b/>
        </w:rPr>
        <w:t xml:space="preserve"> HCCV Joint Co-ordinator</w:t>
      </w:r>
      <w:r w:rsidRPr="000B04C0">
        <w:rPr>
          <w:b/>
        </w:rPr>
        <w:tab/>
      </w:r>
      <w:r w:rsidRPr="000B04C0">
        <w:rPr>
          <w:b/>
        </w:rPr>
        <w:tab/>
      </w:r>
      <w:r w:rsidRPr="000B04C0">
        <w:rPr>
          <w:b/>
        </w:rPr>
        <w:tab/>
      </w:r>
      <w:r w:rsidRPr="000B04C0">
        <w:rPr>
          <w:b/>
        </w:rPr>
        <w:tab/>
      </w:r>
      <w:bookmarkStart w:id="0" w:name="_GoBack"/>
      <w:bookmarkEnd w:id="0"/>
      <w:r w:rsidRPr="000B04C0">
        <w:rPr>
          <w:b/>
        </w:rPr>
        <w:t>April 2017</w:t>
      </w:r>
    </w:p>
    <w:sectPr w:rsidR="000B04C0" w:rsidRPr="000B04C0" w:rsidSect="000B04C0"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38" w:rsidRDefault="00B13B38" w:rsidP="00653EB3">
      <w:r>
        <w:separator/>
      </w:r>
    </w:p>
  </w:endnote>
  <w:endnote w:type="continuationSeparator" w:id="0">
    <w:p w:rsidR="00B13B38" w:rsidRDefault="00B13B38" w:rsidP="0065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38" w:rsidRDefault="00B13B38" w:rsidP="00653EB3">
      <w:r>
        <w:separator/>
      </w:r>
    </w:p>
  </w:footnote>
  <w:footnote w:type="continuationSeparator" w:id="0">
    <w:p w:rsidR="00B13B38" w:rsidRDefault="00B13B38" w:rsidP="00653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FE"/>
    <w:rsid w:val="00080688"/>
    <w:rsid w:val="000B04C0"/>
    <w:rsid w:val="000F3C76"/>
    <w:rsid w:val="0019010F"/>
    <w:rsid w:val="00285BBB"/>
    <w:rsid w:val="002B7CFC"/>
    <w:rsid w:val="00346913"/>
    <w:rsid w:val="003538B1"/>
    <w:rsid w:val="00533377"/>
    <w:rsid w:val="00653EB3"/>
    <w:rsid w:val="008531EF"/>
    <w:rsid w:val="00982480"/>
    <w:rsid w:val="00A2759E"/>
    <w:rsid w:val="00B13B38"/>
    <w:rsid w:val="00BC621E"/>
    <w:rsid w:val="00C15825"/>
    <w:rsid w:val="00D30FFE"/>
    <w:rsid w:val="00E1433A"/>
    <w:rsid w:val="00E9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33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3EB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3EB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53E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33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3EB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3EB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53E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cv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195C-1BB3-4E3D-BDB1-54C99A1E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10</cp:revision>
  <cp:lastPrinted>2017-04-03T18:35:00Z</cp:lastPrinted>
  <dcterms:created xsi:type="dcterms:W3CDTF">2017-04-03T18:34:00Z</dcterms:created>
  <dcterms:modified xsi:type="dcterms:W3CDTF">2017-04-19T10:37:00Z</dcterms:modified>
</cp:coreProperties>
</file>